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Schriftelijke vragen toezicht/handhaving</w:t>
      </w:r>
      <w:r>
        <w:rPr>
          <w:rStyle w:val="apple-converted-space"/>
          <w:rFonts w:ascii="Segoe UI" w:hAnsi="Segoe UI" w:cs="Segoe UI"/>
          <w:color w:val="000000"/>
          <w:sz w:val="20"/>
          <w:szCs w:val="20"/>
        </w:rPr>
        <w:t> </w:t>
      </w:r>
      <w:r>
        <w:rPr>
          <w:rFonts w:ascii="Segoe UI" w:hAnsi="Segoe UI" w:cs="Segoe UI"/>
          <w:color w:val="000000"/>
          <w:sz w:val="20"/>
          <w:szCs w:val="20"/>
        </w:rPr>
        <w:br/>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Bericht:</w:t>
      </w:r>
      <w:r>
        <w:rPr>
          <w:rFonts w:ascii="Segoe UI" w:hAnsi="Segoe UI" w:cs="Segoe UI"/>
          <w:color w:val="000000"/>
          <w:sz w:val="20"/>
          <w:szCs w:val="20"/>
        </w:rPr>
        <w:br/>
      </w:r>
      <w:r>
        <w:rPr>
          <w:rFonts w:ascii="Segoe UI" w:hAnsi="Segoe UI" w:cs="Segoe UI"/>
          <w:color w:val="000000"/>
          <w:sz w:val="20"/>
          <w:szCs w:val="20"/>
        </w:rPr>
        <w:br/>
        <w:t xml:space="preserve">Inwoners en bedrijven moeten erop kunnen rekenen dat sprake is van effectief toezicht en handhaving in de fysieke leefomgeving. Deze opdracht vormt een dagelijkse en constante uitdaging. Dat blijkt </w:t>
      </w:r>
      <w:proofErr w:type="spellStart"/>
      <w:r>
        <w:rPr>
          <w:rFonts w:ascii="Segoe UI" w:hAnsi="Segoe UI" w:cs="Segoe UI"/>
          <w:color w:val="000000"/>
          <w:sz w:val="20"/>
          <w:szCs w:val="20"/>
        </w:rPr>
        <w:t>ondermeer</w:t>
      </w:r>
      <w:proofErr w:type="spellEnd"/>
      <w:r>
        <w:rPr>
          <w:rFonts w:ascii="Segoe UI" w:hAnsi="Segoe UI" w:cs="Segoe UI"/>
          <w:color w:val="000000"/>
          <w:sz w:val="20"/>
          <w:szCs w:val="20"/>
        </w:rPr>
        <w:t xml:space="preserve"> uit een eerder persbericht over vuurwerkschade. Daarnaast geven de zgn. ‘bijwerkingen’ van de nieuwe Drank- en Horecawet reden tot zorg, mede gelet op de reeds bestaande problematiek van jeugdgroepen. Tevens is het goed om bij het nastreven van effectieve toezicht en handhaving oog te hebben voor nieuwe – succesvolle – initiatieven. Niet in de laatste plaats spreekt het voor zich dat met belangstelling naar het handhavingsplan voor 2014 van het GOA-team wordt uitgekeken.</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Naar aanleiding hiervan heeft de VVD-fractie de navolgende vragen aan de burgemeester en aan het college, ieder voor zover het zijn bevoegdheden betreft:</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1. Vuurwerkschade en vernielzucht.</w:t>
      </w:r>
      <w:r>
        <w:rPr>
          <w:rFonts w:ascii="Segoe UI" w:hAnsi="Segoe UI" w:cs="Segoe UI"/>
          <w:color w:val="000000"/>
          <w:sz w:val="20"/>
          <w:szCs w:val="20"/>
        </w:rPr>
        <w:br/>
        <w:t>Uit een eerder dit jaar verschenen persbericht van de gemeente Katwijk blijkt dat de schade aan publieke eigendommen als gevolg van vuurwerk in onze gemeente € 78.000,- bedraagt. In hetzelfde persbericht wordt gemeld dat er voorlichting is gegeven op scholen.</w:t>
      </w:r>
      <w:r>
        <w:rPr>
          <w:rFonts w:ascii="Segoe UI" w:hAnsi="Segoe UI" w:cs="Segoe UI"/>
          <w:color w:val="000000"/>
          <w:sz w:val="20"/>
          <w:szCs w:val="20"/>
        </w:rPr>
        <w:br/>
        <w:t xml:space="preserve">a. Kan uit voornoemd persbericht worden opgemaakt dat er geen voorlichting is gegeven binnen de jongerencentra? Waarom is het plaatselijke jongerenwerk (SKA </w:t>
      </w:r>
      <w:proofErr w:type="spellStart"/>
      <w:r>
        <w:rPr>
          <w:rFonts w:ascii="Segoe UI" w:hAnsi="Segoe UI" w:cs="Segoe UI"/>
          <w:color w:val="000000"/>
          <w:sz w:val="20"/>
          <w:szCs w:val="20"/>
        </w:rPr>
        <w:t>Oud&amp;Nieuw</w:t>
      </w:r>
      <w:proofErr w:type="spellEnd"/>
      <w:r>
        <w:rPr>
          <w:rFonts w:ascii="Segoe UI" w:hAnsi="Segoe UI" w:cs="Segoe UI"/>
          <w:color w:val="000000"/>
          <w:sz w:val="20"/>
          <w:szCs w:val="20"/>
        </w:rPr>
        <w:t>) niet betrokken bij de uitvoering van de voorlichtingscampagne?</w:t>
      </w:r>
      <w:r>
        <w:rPr>
          <w:rFonts w:ascii="Segoe UI" w:hAnsi="Segoe UI" w:cs="Segoe UI"/>
          <w:color w:val="000000"/>
          <w:sz w:val="20"/>
          <w:szCs w:val="20"/>
        </w:rPr>
        <w:br/>
        <w:t xml:space="preserve">b. Is er tijdens de afgelopen jaarwisseling voor een andere aanpak c.q. strategie gekozen voor wat betreft de inzet van </w:t>
      </w:r>
      <w:proofErr w:type="spellStart"/>
      <w:r>
        <w:rPr>
          <w:rFonts w:ascii="Segoe UI" w:hAnsi="Segoe UI" w:cs="Segoe UI"/>
          <w:color w:val="000000"/>
          <w:sz w:val="20"/>
          <w:szCs w:val="20"/>
        </w:rPr>
        <w:t>GOA’s</w:t>
      </w:r>
      <w:proofErr w:type="spellEnd"/>
      <w:r>
        <w:rPr>
          <w:rFonts w:ascii="Segoe UI" w:hAnsi="Segoe UI" w:cs="Segoe UI"/>
          <w:color w:val="000000"/>
          <w:sz w:val="20"/>
          <w:szCs w:val="20"/>
        </w:rPr>
        <w:t xml:space="preserve"> ten aanzien van hun handhavingstaken op dit punt? Waarom wel/niet?</w:t>
      </w:r>
      <w:r>
        <w:rPr>
          <w:rFonts w:ascii="Segoe UI" w:hAnsi="Segoe UI" w:cs="Segoe UI"/>
          <w:color w:val="000000"/>
          <w:sz w:val="20"/>
          <w:szCs w:val="20"/>
        </w:rPr>
        <w:br/>
        <w:t>c. Welke specifieke inzet m.b.t. handhaving is er gepleegd door de wijkagenten?</w:t>
      </w:r>
      <w:r>
        <w:rPr>
          <w:rFonts w:ascii="Segoe UI" w:hAnsi="Segoe UI" w:cs="Segoe UI"/>
          <w:color w:val="000000"/>
          <w:sz w:val="20"/>
          <w:szCs w:val="20"/>
        </w:rPr>
        <w:br/>
        <w:t xml:space="preserve">d. Op welke manier kan de mate van samenwerking door verschillende partijen (politie, jongerenwerk, </w:t>
      </w:r>
      <w:proofErr w:type="spellStart"/>
      <w:r>
        <w:rPr>
          <w:rFonts w:ascii="Segoe UI" w:hAnsi="Segoe UI" w:cs="Segoe UI"/>
          <w:color w:val="000000"/>
          <w:sz w:val="20"/>
          <w:szCs w:val="20"/>
        </w:rPr>
        <w:t>GOA’s</w:t>
      </w:r>
      <w:proofErr w:type="spellEnd"/>
      <w:r>
        <w:rPr>
          <w:rFonts w:ascii="Segoe UI" w:hAnsi="Segoe UI" w:cs="Segoe UI"/>
          <w:color w:val="000000"/>
          <w:sz w:val="20"/>
          <w:szCs w:val="20"/>
        </w:rPr>
        <w:t>, etc.) nog verder worden geïntensiveerd om het schadebedrag structureel (niet alleen tijdens de jaarwisseling) aanzienlijk te kunnen verlagen?</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2. Jeugdgroepen in de gemeente Katwijk.</w:t>
      </w:r>
      <w:r>
        <w:rPr>
          <w:rFonts w:ascii="Segoe UI" w:hAnsi="Segoe UI" w:cs="Segoe UI"/>
          <w:color w:val="000000"/>
          <w:sz w:val="20"/>
          <w:szCs w:val="20"/>
        </w:rPr>
        <w:br/>
        <w:t>Uit de Nota Veiligheidsbeleid 2012-2016 (zaaknummer 2011-024728) blijkt dat er in 2011 één criminele jeugdgroep en elf hinderlijke jeugdgroepen actief zijn binnen de gemeente Katwijk.</w:t>
      </w:r>
      <w:r>
        <w:rPr>
          <w:rFonts w:ascii="Segoe UI" w:hAnsi="Segoe UI" w:cs="Segoe UI"/>
          <w:color w:val="000000"/>
          <w:sz w:val="20"/>
          <w:szCs w:val="20"/>
        </w:rPr>
        <w:br/>
        <w:t>a. Hoeveel jeugdgroepen, naar categorie, zijn er nu actief in de gemeente Katwijk?</w:t>
      </w:r>
      <w:r>
        <w:rPr>
          <w:rFonts w:ascii="Segoe UI" w:hAnsi="Segoe UI" w:cs="Segoe UI"/>
          <w:color w:val="000000"/>
          <w:sz w:val="20"/>
          <w:szCs w:val="20"/>
        </w:rPr>
        <w:br/>
        <w:t>b. Zijn er extra probleemoplossende en bestrijdende acties genomen, naast de beschreven acties uit voornoemde nota? Zo ja, welke?</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 xml:space="preserve">3. Inzet van de </w:t>
      </w:r>
      <w:proofErr w:type="spellStart"/>
      <w:r>
        <w:rPr>
          <w:rFonts w:ascii="Segoe UI" w:hAnsi="Segoe UI" w:cs="Segoe UI"/>
          <w:color w:val="000000"/>
          <w:sz w:val="20"/>
          <w:szCs w:val="20"/>
        </w:rPr>
        <w:t>jeugdboa</w:t>
      </w:r>
      <w:proofErr w:type="spellEnd"/>
      <w:r>
        <w:rPr>
          <w:rFonts w:ascii="Segoe UI" w:hAnsi="Segoe UI" w:cs="Segoe UI"/>
          <w:color w:val="000000"/>
          <w:sz w:val="20"/>
          <w:szCs w:val="20"/>
        </w:rPr>
        <w:br/>
        <w:t xml:space="preserve">In een groeiend aantal gemeenten wordt een zogeheten Jeugd-boa ingezet, of wordt die inzet overwogen. De </w:t>
      </w:r>
      <w:proofErr w:type="spellStart"/>
      <w:r>
        <w:rPr>
          <w:rFonts w:ascii="Segoe UI" w:hAnsi="Segoe UI" w:cs="Segoe UI"/>
          <w:color w:val="000000"/>
          <w:sz w:val="20"/>
          <w:szCs w:val="20"/>
        </w:rPr>
        <w:t>Jeugdboa</w:t>
      </w:r>
      <w:proofErr w:type="spellEnd"/>
      <w:r>
        <w:rPr>
          <w:rFonts w:ascii="Segoe UI" w:hAnsi="Segoe UI" w:cs="Segoe UI"/>
          <w:color w:val="000000"/>
          <w:sz w:val="20"/>
          <w:szCs w:val="20"/>
        </w:rPr>
        <w:t xml:space="preserve"> werkt integraal aan de volgende thema’s: aanpak hangplekken, school en veiligheid, alcohol, zorg- en risicosignalen en schoolverzuim.</w:t>
      </w:r>
      <w:r>
        <w:rPr>
          <w:rFonts w:ascii="Segoe UI" w:hAnsi="Segoe UI" w:cs="Segoe UI"/>
          <w:color w:val="000000"/>
          <w:sz w:val="20"/>
          <w:szCs w:val="20"/>
        </w:rPr>
        <w:br/>
        <w:t>a. Is het College bereid om de inzet (inclusief opleiding en training) van zogeheten Jeugdboa’s in de gemeente Katwijk te overwegen, mede in het licht van de nieuwe Drank- en Horecawet en de nieuwe Jeugdhulpwet en de weerbarstige praktijk bij de uitvoering van beide wetten?</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 xml:space="preserve">4. Handhavingsplan team </w:t>
      </w:r>
      <w:proofErr w:type="spellStart"/>
      <w:r>
        <w:rPr>
          <w:rFonts w:ascii="Segoe UI" w:hAnsi="Segoe UI" w:cs="Segoe UI"/>
          <w:color w:val="000000"/>
          <w:sz w:val="20"/>
          <w:szCs w:val="20"/>
        </w:rPr>
        <w:t>GOA’s</w:t>
      </w:r>
      <w:proofErr w:type="spellEnd"/>
      <w:r>
        <w:rPr>
          <w:rFonts w:ascii="Segoe UI" w:hAnsi="Segoe UI" w:cs="Segoe UI"/>
          <w:color w:val="000000"/>
          <w:sz w:val="20"/>
          <w:szCs w:val="20"/>
        </w:rPr>
        <w:t xml:space="preserve"> 2014</w:t>
      </w:r>
      <w:r>
        <w:rPr>
          <w:rFonts w:ascii="Segoe UI" w:hAnsi="Segoe UI" w:cs="Segoe UI"/>
          <w:color w:val="000000"/>
          <w:sz w:val="20"/>
          <w:szCs w:val="20"/>
        </w:rPr>
        <w:br/>
        <w:t>a. Welke prioriteiten kent het Handhavingsplan 2014 en in hoeverre is er verschil met 2013? Welke ontwikkelingen/ervaringen liggen aan de eventuele verschuiving(en) in prioriteiten ten grondslag?</w:t>
      </w:r>
      <w:r>
        <w:rPr>
          <w:rFonts w:ascii="Segoe UI" w:hAnsi="Segoe UI" w:cs="Segoe UI"/>
          <w:color w:val="000000"/>
          <w:sz w:val="20"/>
          <w:szCs w:val="20"/>
        </w:rPr>
        <w:br/>
        <w:t>b. In hoeverre wordt (ook) in 2014 geïnvesteerd in betrokkenheid van inwoners bij de dagelijkse handhavingspraktijk?</w:t>
      </w:r>
      <w:r>
        <w:rPr>
          <w:rFonts w:ascii="Segoe UI" w:hAnsi="Segoe UI" w:cs="Segoe UI"/>
          <w:color w:val="000000"/>
          <w:sz w:val="20"/>
          <w:szCs w:val="20"/>
        </w:rPr>
        <w:br/>
        <w:t>c. Wat kan gezegd worden over de mate van inzet van GOA-</w:t>
      </w:r>
      <w:proofErr w:type="spellStart"/>
      <w:r>
        <w:rPr>
          <w:rFonts w:ascii="Segoe UI" w:hAnsi="Segoe UI" w:cs="Segoe UI"/>
          <w:color w:val="000000"/>
          <w:sz w:val="20"/>
          <w:szCs w:val="20"/>
        </w:rPr>
        <w:t>bikers</w:t>
      </w:r>
      <w:proofErr w:type="spellEnd"/>
      <w:r>
        <w:rPr>
          <w:rFonts w:ascii="Segoe UI" w:hAnsi="Segoe UI" w:cs="Segoe UI"/>
          <w:color w:val="000000"/>
          <w:sz w:val="20"/>
          <w:szCs w:val="20"/>
        </w:rPr>
        <w:t xml:space="preserve"> in 2014?</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lastRenderedPageBreak/>
        <w:t>In afwachting van uw antwoord,</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Hoogachtend, namens de VVD-fractie,</w:t>
      </w:r>
    </w:p>
    <w:p w:rsidR="00D4142F" w:rsidRDefault="00D4142F" w:rsidP="00D4142F">
      <w:pPr>
        <w:pStyle w:val="Normaalweb"/>
        <w:shd w:val="clear" w:color="auto" w:fill="FFFFFF"/>
        <w:spacing w:before="269" w:beforeAutospacing="0" w:after="269" w:afterAutospacing="0"/>
        <w:rPr>
          <w:rFonts w:ascii="Segoe UI" w:hAnsi="Segoe UI" w:cs="Segoe UI"/>
          <w:color w:val="000000"/>
          <w:sz w:val="20"/>
          <w:szCs w:val="20"/>
        </w:rPr>
      </w:pPr>
      <w:r>
        <w:rPr>
          <w:rFonts w:ascii="Segoe UI" w:hAnsi="Segoe UI" w:cs="Segoe UI"/>
          <w:color w:val="000000"/>
          <w:sz w:val="20"/>
          <w:szCs w:val="20"/>
        </w:rPr>
        <w:t>Edwin de Mol. Lijst 4 – nr. 6</w:t>
      </w:r>
    </w:p>
    <w:p w:rsidR="00407005" w:rsidRDefault="00407005">
      <w:bookmarkStart w:id="0" w:name="_GoBack"/>
      <w:bookmarkEnd w:id="0"/>
    </w:p>
    <w:sectPr w:rsidR="00407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2F"/>
    <w:rsid w:val="00407005"/>
    <w:rsid w:val="00D41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414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4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414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4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dc:creator>
  <cp:lastModifiedBy>Arno</cp:lastModifiedBy>
  <cp:revision>1</cp:revision>
  <dcterms:created xsi:type="dcterms:W3CDTF">2014-03-03T08:45:00Z</dcterms:created>
  <dcterms:modified xsi:type="dcterms:W3CDTF">2014-03-03T08:46:00Z</dcterms:modified>
</cp:coreProperties>
</file>